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w:t>
      </w:r>
    </w:p>
    <w:p>
      <w:r>
        <w:t>Bundesgericht (BGE), 1991-11-27, FR</w:t>
      </w:r>
    </w:p>
    <w:p>
      <w:r>
        <w:rPr>
          <w:b/>
        </w:rPr>
        <w:t xml:space="preserve">Quelle: </w:t>
      </w:r>
      <w:r>
        <w:t>https://mcp.opencaselaw.ch/entscheid/bge_118 III 1</w:t>
      </w:r>
    </w:p>
    <w:p>
      <w:r>
        <w:t>FR: ATF 118 III 1</w:t>
      </w:r>
    </w:p>
    <w:p>
      <w:r>
        <w:t>IT: DTF 118 III 1</w:t>
      </w:r>
    </w:p>
    <w:p>
      <w:pPr>
        <w:pStyle w:val="Heading2"/>
      </w:pPr>
      <w:r>
        <w:t>Regeste</w:t>
      </w:r>
    </w:p>
    <w:p>
      <w:r>
        <w:t>Regeste Art. 63 Abs. 2 OG; Art. 5 und Art. 9 SchKG. Folgen einer fehlenden Geldhinterlegung durch das Betreibungsamt. Unzulässigkeit der Beschwerde. 1. Wenn die Aufsichtsbehörde nach der Feststellung, dass Geldsummen durch das Amt hätten hinterlegt werden müssen, dem Beschwerdeführer die verlangten Zinsen nicht zuspricht, liegt darin kein offensichtliches Versehen im Sinne von Art. 63 Abs. 2 OG (E. 1). 2. Im Beschwerdeverfahren kann die Aufsichtsbehörde die Unterlassung eines Amtes nur berichtigen, wenn dadurch ein Mangel des Zwangsvollstreckungsverfahrens behoben werden soll, das heisst, wenn es darum geht, den ordnungsgemässen Ablauf einer Betreibung zu wahren. Wenn der Beschwerdeführer Schadenersatz verlangt, steht nur der Weg der gerichtlichen Klage offen (E. 2).</w:t>
      </w:r>
    </w:p>
    <w:p>
      <w:pPr>
        <w:pStyle w:val="Heading2"/>
      </w:pPr>
      <w:r>
        <w:t>Erwägungen</w:t>
      </w:r>
    </w:p>
    <w:p>
      <w:r>
        <w:rPr>
          <w:b/>
        </w:rPr>
        <w:t>E. 1</w:t>
      </w:r>
    </w:p>
    <w:p>
      <w:r>
        <w:t>L'autorité de surveillance a considéré que, dans la mesure où elle réclamait des intérêts, la plainte du recourant était fondée. Toutefois, le dispositif de la décision attaquée ne dit rien à ce sujet. On peut se demander s'il n'y a pas là une inadvertance manifeste qu'il y aurait lieu de rectifier d'office, en application de l' art. 63 al. 2 OJ (applicable en vertu du renvoi de l' art. 81 OJ ). L'autorité cantonale a toutefois constaté exactement les faits déterminants: d'abord l'absence de consignation du capital reçu le 7 février 1991; ensuite l'impossibilité d'en disposer dans les trois jours puisque le délai de participation à la saisie expirait le 24 février; enfin le fait que l'argent perçu aurait porté intérêt à 4% l'an dès le soixante et unième jour suivant son dépôt à la caisse de consignation. Dès lors, le silence du dispositif au sujet des intérêts ne constitue pas une inadvertance dans la constatation des faits, comme le serait l'oubli ou la mauvaise lecture d'une pièce ( ATF 115 II 399 ). Bien qu'elle ait BGE 118 III 1 S. 3 constaté la carence de l'office, l'autorité cantonale a omis d'y suppléer par l'allocation d'intérêts.</w:t>
      </w:r>
    </w:p>
    <w:p>
      <w:r>
        <w:rPr>
          <w:b/>
        </w:rPr>
        <w:t>E. 2</w:t>
      </w:r>
    </w:p>
    <w:p>
      <w:r>
        <w:t>Dans le cadre du recours prévu à l' art. 19 LP , le Tribunal fédéral, comme l'autorité cantonale de surveillance d'ailleurs, ne peut corriger une omission de l'office que si, d'une part, il y a eu violation du droit fédéral et si, d'autre part, il y a lieu de corriger un vice de la procédure d'exécution forcée ( art. 21 LP ; AMONN, Grundriss des Schuldbetreibungs- und Konkursrechts, 4e éd., Bern 1988, § 6 n. 1 et 2, p. 51). a) On ne saurait reprocher au recourant de ne pas avoir mentionné les règles de droit fédéral qui sont violées par l'arrêt cantonal et en quoi consiste la violation ( art. 79 al. 1 OJ ), car, d'une part, une critique intelligible et explicite de la décision attaquée est suffisante ( ATF 93 II 321 consid. 2d, ATF 87 II 306 consid. 1) et, d'autre part, la violation de l' art. 9 LP , qui prescrit la consignation des sommes dont l'office n'a pas l'emploi dans les trois jours, est expressément admise par l'autorité de surveillance. Il faut donc examiner si, en vertu du droit fédéral, cette autorité devait allouer des intérêts au recourant. b) La jurisprudence distingue les prétentions fondées sur le droit de l'exécution forcée de celles fondées sur la responsabilité des préposés et fonctionnaires de l'office en raison du dommage causé par faute. Celles-là existent par exemple lorsque l'office, au moment où il a disposé de fonds, n'a pas respecté les règles sur l'exécution forcée. Dans ce cas, l'ayant droit peut quand même réclamer son dû, directement à l'office ou, si nécessaire, par voie de plainte. En revanche, lorsqu'il ne s'agit pas de rectifier le déroulement d'une poursuite, mais de réparer le dommage causé par la faute de l'office, les règles sur la responsabilité des fonctionnaires et employés des offices s'appliquent ( art. 5 ss LP ; ATF 85 III 35 , ATF 76 III 84 consid. 3, ATF 73 III 88 ss). En l'espèce, l'office n'a pas violé les règles sur l'exécution forcée en acceptant des fonds qu'il ne devait pas percevoir ou par l'attribution erronée de fonds qui lui ont été remis. Bien au contraire, il s'est abstenu de les répartir. Le recourant ne fait donc pas valoir une prétention fondée sur les règles de l'exécution forcée lorsqu'il réclame des intérêts qui n'ont pas été perçus par l'office. Il énonce une prétention en dommages et intérêts, c'est-à-dire la réparation du dommage qu'il dit subir du fait que l'office n'a pas respecté l' art. 9 LP . Or, pour l'action en responsabilité correspondant à la prétention du recourant, la loi prévoit la voie judiciaire ( art. 5 al. 1 LP ). C'est donc BGE 118 III 1 S. 4 le juge ordinaire qui est compétent pour connaître l'action correspondant à cette prétention. Bien qu'elle ait constaté la violation de l' art. 9 LP , l'autorité de surveillance ne pouvait allouer au recourant les intérêts qu'il réclame. Le recours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